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2190338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A" w14:textId="164BD475" w:rsidR="00E13C27" w:rsidRPr="00CF1AA2" w:rsidRDefault="008F6665" w:rsidP="002A3D64">
      <w:pPr>
        <w:pStyle w:val="David"/>
        <w:spacing w:before="102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 xml:space="preserve">אורי </w:t>
      </w:r>
      <w:proofErr w:type="spellStart"/>
      <w:r>
        <w:rPr>
          <w:rFonts w:hint="cs"/>
          <w:b/>
          <w:bCs/>
          <w:rtl/>
        </w:rPr>
        <w:t>מקלב</w:t>
      </w:r>
      <w:proofErr w:type="spellEnd"/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 xml:space="preserve">יצחק </w:t>
      </w:r>
      <w:proofErr w:type="spellStart"/>
      <w:r>
        <w:rPr>
          <w:rFonts w:hint="cs"/>
          <w:b/>
          <w:bCs/>
          <w:rtl/>
        </w:rPr>
        <w:t>פינדרוס</w:t>
      </w:r>
      <w:bookmarkStart w:id="4" w:name="LGS_Join_List"/>
      <w:bookmarkEnd w:id="3"/>
      <w:proofErr w:type="spellEnd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317AF747" w:rsidR="00E13C27" w:rsidRPr="00E06736" w:rsidRDefault="00904591" w:rsidP="00904591">
      <w:pPr>
        <w:pStyle w:val="David"/>
        <w:spacing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id="6" w:name="Private_Number"/>
      <w:r w:rsidR="002A3D64">
        <w:rPr>
          <w:rtl/>
        </w:rPr>
        <w:tab/>
      </w:r>
      <w:r>
        <w:rPr>
          <w:rFonts w:hint="cs"/>
          <w:rtl/>
        </w:rPr>
        <w:t>פ/3462/24</w:t>
      </w:r>
      <w:bookmarkEnd w:id="6"/>
    </w:p>
    <w:p w14:paraId="7F6961AC" w14:textId="77777777" w:rsidR="00E13C27" w:rsidRDefault="00E13C27" w:rsidP="00E13C27">
      <w:pPr>
        <w:ind w:left="2880" w:firstLine="720"/>
        <w:rPr>
          <w:sz w:val="26"/>
          <w:szCs w:val="26"/>
          <w:rtl/>
        </w:rPr>
      </w:pPr>
    </w:p>
    <w:p w14:paraId="7F6961AD" w14:textId="4B57AEB7" w:rsidR="00E13C27" w:rsidRDefault="00A443CF" w:rsidP="00455CF8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 xml:space="preserve">הצעת חוק דמי מחלה (היעדרות בשל מחלת ילד) (תיקון – הורה ליותר מילד אחד), </w:t>
      </w:r>
      <w:proofErr w:type="spellStart"/>
      <w:r>
        <w:rPr>
          <w:rFonts w:hint="cs"/>
          <w:rtl/>
        </w:rPr>
        <w:t>התשפ"ב</w:t>
      </w:r>
      <w:proofErr w:type="spellEnd"/>
      <w:r w:rsidR="00455CF8">
        <w:rPr>
          <w:rFonts w:hint="eastAsia"/>
          <w:rtl/>
        </w:rPr>
        <w:t>–</w:t>
      </w:r>
      <w:r>
        <w:rPr>
          <w:rFonts w:hint="cs"/>
          <w:rtl/>
        </w:rPr>
        <w:t>2022</w:t>
      </w:r>
      <w:bookmarkEnd w:id="7"/>
    </w:p>
    <w:p w14:paraId="556D2334" w14:textId="77777777" w:rsidR="002A3D64" w:rsidRPr="00F67051" w:rsidRDefault="002A3D64" w:rsidP="00455CF8">
      <w:pPr>
        <w:pStyle w:val="HeadHatzaotHok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="00AB581D" w14:paraId="5D64498E" w14:textId="77777777" w:rsidTr="002A3D64">
        <w:trPr>
          <w:cantSplit/>
        </w:trPr>
        <w:tc>
          <w:tcPr>
            <w:tcW w:w="1871" w:type="dxa"/>
          </w:tcPr>
          <w:p w14:paraId="787BBE6C" w14:textId="77777777" w:rsidR="00AB581D" w:rsidRDefault="00AB581D" w:rsidP="00D773AA">
            <w:pPr>
              <w:pStyle w:val="TableSideHeading"/>
              <w:keepLines w:val="0"/>
            </w:pPr>
            <w:r>
              <w:rPr>
                <w:rFonts w:hint="cs"/>
                <w:rtl/>
              </w:rPr>
              <w:t>תיקון סעיף 1</w:t>
            </w:r>
          </w:p>
        </w:tc>
        <w:tc>
          <w:tcPr>
            <w:tcW w:w="624" w:type="dxa"/>
          </w:tcPr>
          <w:p w14:paraId="3E45300B" w14:textId="77777777" w:rsidR="00AB581D" w:rsidRDefault="00AB581D" w:rsidP="00D773AA">
            <w:pPr>
              <w:pStyle w:val="TableText"/>
              <w:keepLines w:val="0"/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14:paraId="7F50E4BE" w14:textId="77777777" w:rsidR="00AB581D" w:rsidRPr="00C34DE2" w:rsidRDefault="00AB581D" w:rsidP="002A3D64">
            <w:pPr>
              <w:pStyle w:val="TableBlock"/>
            </w:pPr>
            <w:r>
              <w:rPr>
                <w:rFonts w:hint="cs"/>
                <w:rtl/>
              </w:rPr>
              <w:t xml:space="preserve">בחוק דמי מחלה (היעדרות בשל מחלת ילד), </w:t>
            </w:r>
            <w:proofErr w:type="spellStart"/>
            <w:r>
              <w:rPr>
                <w:rFonts w:hint="cs"/>
                <w:rtl/>
              </w:rPr>
              <w:t>התשנ"ג</w:t>
            </w:r>
            <w:proofErr w:type="spellEnd"/>
            <w:r>
              <w:rPr>
                <w:rFonts w:hint="cs"/>
                <w:rtl/>
              </w:rPr>
              <w:t>–1993</w:t>
            </w:r>
            <w:r w:rsidRPr="002A3D64">
              <w:rPr>
                <w:rStyle w:val="a5"/>
                <w:rFonts w:ascii="David" w:hAnsi="David"/>
                <w:sz w:val="26"/>
                <w:rtl/>
              </w:rPr>
              <w:footnoteReference w:id="2"/>
            </w:r>
            <w:r>
              <w:rPr>
                <w:rFonts w:hint="cs"/>
                <w:rtl/>
              </w:rPr>
              <w:t xml:space="preserve">, בסעיף 1 – </w:t>
            </w:r>
          </w:p>
        </w:tc>
      </w:tr>
      <w:tr w:rsidR="00AB581D" w14:paraId="305ED81E" w14:textId="77777777" w:rsidTr="002A3D64">
        <w:trPr>
          <w:cantSplit/>
        </w:trPr>
        <w:tc>
          <w:tcPr>
            <w:tcW w:w="1871" w:type="dxa"/>
          </w:tcPr>
          <w:p w14:paraId="6B66A23A" w14:textId="77777777" w:rsidR="00AB581D" w:rsidRDefault="00AB581D" w:rsidP="00D773AA">
            <w:pPr>
              <w:pStyle w:val="TableSideHeading"/>
              <w:keepLines w:val="0"/>
              <w:rPr>
                <w:rtl/>
              </w:rPr>
            </w:pPr>
          </w:p>
        </w:tc>
        <w:tc>
          <w:tcPr>
            <w:tcW w:w="624" w:type="dxa"/>
          </w:tcPr>
          <w:p w14:paraId="5B6A7C83" w14:textId="77777777" w:rsidR="00AB581D" w:rsidRDefault="00AB581D" w:rsidP="00D773AA">
            <w:pPr>
              <w:pStyle w:val="TableText"/>
              <w:rPr>
                <w:rtl/>
              </w:rPr>
            </w:pPr>
          </w:p>
        </w:tc>
        <w:tc>
          <w:tcPr>
            <w:tcW w:w="7143" w:type="dxa"/>
          </w:tcPr>
          <w:p w14:paraId="1F3787BB" w14:textId="77777777" w:rsidR="00AB581D" w:rsidRDefault="00AB581D" w:rsidP="002A3D64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בפסקה (א), בסופה יבוא "ואם עמו יותר מילד אחד – 2 ימים נוספים בשנה בעד כל ילד נוסף;";</w:t>
            </w:r>
          </w:p>
        </w:tc>
      </w:tr>
      <w:tr w:rsidR="00AB581D" w14:paraId="27962978" w14:textId="77777777" w:rsidTr="002A3D64">
        <w:trPr>
          <w:cantSplit/>
        </w:trPr>
        <w:tc>
          <w:tcPr>
            <w:tcW w:w="1871" w:type="dxa"/>
          </w:tcPr>
          <w:p w14:paraId="4195BFCE" w14:textId="77777777" w:rsidR="00AB581D" w:rsidRDefault="00AB581D" w:rsidP="00D773AA">
            <w:pPr>
              <w:pStyle w:val="TableSideHeading"/>
              <w:keepLines w:val="0"/>
              <w:rPr>
                <w:rtl/>
              </w:rPr>
            </w:pPr>
          </w:p>
        </w:tc>
        <w:tc>
          <w:tcPr>
            <w:tcW w:w="624" w:type="dxa"/>
          </w:tcPr>
          <w:p w14:paraId="28EC1190" w14:textId="77777777" w:rsidR="00AB581D" w:rsidRDefault="00AB581D" w:rsidP="00D773AA">
            <w:pPr>
              <w:pStyle w:val="TableText"/>
              <w:rPr>
                <w:rtl/>
              </w:rPr>
            </w:pPr>
          </w:p>
        </w:tc>
        <w:tc>
          <w:tcPr>
            <w:tcW w:w="7143" w:type="dxa"/>
          </w:tcPr>
          <w:p w14:paraId="036A7EFC" w14:textId="77777777" w:rsidR="00AB581D" w:rsidRDefault="00AB581D" w:rsidP="002A3D64">
            <w:pPr>
              <w:pStyle w:val="TableBlock"/>
              <w:rPr>
                <w:rtl/>
              </w:rPr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בפסקה (ב), בסופה יבוא "ואם עמו יותר מילד אחד – 4 ימים נוספים בשנה בעד כל ילד נוסף;".</w:t>
            </w:r>
          </w:p>
        </w:tc>
      </w:tr>
    </w:tbl>
    <w:p w14:paraId="46C1A29B" w14:textId="77777777" w:rsidR="00AB581D" w:rsidRDefault="00AB581D" w:rsidP="00AB581D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0D87EF20" w14:textId="77777777" w:rsidR="00AB581D" w:rsidRPr="005326F8" w:rsidRDefault="00AB581D" w:rsidP="002A3D64">
      <w:pPr>
        <w:pStyle w:val="Hesber"/>
        <w:spacing w:line="240" w:lineRule="auto"/>
        <w:rPr>
          <w:rtl/>
        </w:rPr>
      </w:pPr>
      <w:r w:rsidRPr="005326F8">
        <w:rPr>
          <w:rFonts w:hint="cs"/>
          <w:rtl/>
        </w:rPr>
        <w:t>סעיף 1 ל</w:t>
      </w:r>
      <w:r w:rsidRPr="005326F8">
        <w:rPr>
          <w:rtl/>
        </w:rPr>
        <w:t>חוק דמי מחלה (היעדרות בשל מחלת ילד)</w:t>
      </w:r>
      <w:r w:rsidRPr="005326F8">
        <w:rPr>
          <w:rFonts w:hint="cs"/>
          <w:rtl/>
        </w:rPr>
        <w:t>,</w:t>
      </w:r>
      <w:r w:rsidRPr="005326F8">
        <w:rPr>
          <w:rtl/>
        </w:rPr>
        <w:t xml:space="preserve"> </w:t>
      </w:r>
      <w:proofErr w:type="spellStart"/>
      <w:r w:rsidRPr="005326F8">
        <w:rPr>
          <w:rtl/>
        </w:rPr>
        <w:t>התש</w:t>
      </w:r>
      <w:r w:rsidRPr="005326F8">
        <w:rPr>
          <w:rFonts w:hint="cs"/>
          <w:rtl/>
        </w:rPr>
        <w:t>נ</w:t>
      </w:r>
      <w:r w:rsidRPr="005326F8">
        <w:rPr>
          <w:rtl/>
        </w:rPr>
        <w:t>"ג</w:t>
      </w:r>
      <w:proofErr w:type="spellEnd"/>
      <w:r w:rsidRPr="005326F8">
        <w:rPr>
          <w:rFonts w:hint="cs"/>
          <w:rtl/>
        </w:rPr>
        <w:t>–</w:t>
      </w:r>
      <w:r w:rsidRPr="005326F8">
        <w:rPr>
          <w:rtl/>
        </w:rPr>
        <w:t>1993 (להלן</w:t>
      </w:r>
      <w:r w:rsidRPr="005326F8">
        <w:rPr>
          <w:rFonts w:hint="cs"/>
          <w:rtl/>
        </w:rPr>
        <w:t xml:space="preserve"> –</w:t>
      </w:r>
      <w:r w:rsidRPr="005326F8">
        <w:rPr>
          <w:rtl/>
        </w:rPr>
        <w:t xml:space="preserve"> החוק)</w:t>
      </w:r>
      <w:r w:rsidRPr="005326F8">
        <w:rPr>
          <w:rFonts w:hint="cs"/>
          <w:rtl/>
        </w:rPr>
        <w:t>,</w:t>
      </w:r>
      <w:r w:rsidRPr="005326F8">
        <w:rPr>
          <w:rtl/>
        </w:rPr>
        <w:t xml:space="preserve"> </w:t>
      </w:r>
      <w:r w:rsidRPr="005326F8">
        <w:rPr>
          <w:rFonts w:hint="cs"/>
          <w:rtl/>
        </w:rPr>
        <w:t xml:space="preserve">קובע כי </w:t>
      </w:r>
      <w:r w:rsidRPr="005326F8">
        <w:rPr>
          <w:rtl/>
        </w:rPr>
        <w:t>עובד שעמו ילד שטרם מלאו לו 16 שנ</w:t>
      </w:r>
      <w:r w:rsidRPr="005326F8">
        <w:rPr>
          <w:rFonts w:hint="cs"/>
          <w:rtl/>
        </w:rPr>
        <w:t>ים</w:t>
      </w:r>
      <w:r w:rsidRPr="005326F8">
        <w:rPr>
          <w:rtl/>
        </w:rPr>
        <w:t xml:space="preserve"> רשאי </w:t>
      </w:r>
      <w:r w:rsidRPr="005326F8">
        <w:rPr>
          <w:rFonts w:hint="cs"/>
          <w:rtl/>
        </w:rPr>
        <w:t xml:space="preserve">לזקוף בשל מחלת ילדו, על חשבון תקופת המחלה הצבורה שלו, </w:t>
      </w:r>
      <w:r w:rsidRPr="005326F8">
        <w:rPr>
          <w:rtl/>
        </w:rPr>
        <w:t xml:space="preserve"> עד 8 ימים </w:t>
      </w:r>
      <w:r w:rsidRPr="005326F8">
        <w:rPr>
          <w:rFonts w:hint="cs"/>
          <w:rtl/>
        </w:rPr>
        <w:t>ב</w:t>
      </w:r>
      <w:r w:rsidRPr="005326F8">
        <w:rPr>
          <w:rtl/>
        </w:rPr>
        <w:t>שנה</w:t>
      </w:r>
      <w:r w:rsidRPr="005326F8">
        <w:rPr>
          <w:rFonts w:hint="cs"/>
          <w:rtl/>
        </w:rPr>
        <w:t>, ואם מדובר בעובד שהילד נמצא בהחזקתו הבלעדית או בעובד שהוא הורה עצמאי  – עד 16 ימים בשנה</w:t>
      </w:r>
      <w:r w:rsidRPr="005326F8">
        <w:rPr>
          <w:rtl/>
        </w:rPr>
        <w:t xml:space="preserve">. </w:t>
      </w:r>
    </w:p>
    <w:p w14:paraId="32ED57CC" w14:textId="77777777" w:rsidR="00AB581D" w:rsidRPr="005326F8" w:rsidRDefault="00AB581D" w:rsidP="002A3D64">
      <w:pPr>
        <w:pStyle w:val="Hesber"/>
        <w:spacing w:line="240" w:lineRule="auto"/>
        <w:rPr>
          <w:rtl/>
        </w:rPr>
      </w:pPr>
      <w:r w:rsidRPr="005326F8">
        <w:rPr>
          <w:rFonts w:hint="cs"/>
          <w:rtl/>
        </w:rPr>
        <w:t>סך ימי המחלה שעובד זכאי לזקוף בשל מחלת ילדו</w:t>
      </w:r>
      <w:r>
        <w:rPr>
          <w:rFonts w:hint="cs"/>
          <w:rtl/>
        </w:rPr>
        <w:t xml:space="preserve"> כאמור</w:t>
      </w:r>
      <w:r w:rsidRPr="005326F8">
        <w:rPr>
          <w:rFonts w:hint="cs"/>
          <w:rtl/>
        </w:rPr>
        <w:t>, אינו תלו</w:t>
      </w:r>
      <w:r>
        <w:rPr>
          <w:rFonts w:hint="cs"/>
          <w:rtl/>
        </w:rPr>
        <w:t>י</w:t>
      </w:r>
      <w:r w:rsidRPr="005326F8">
        <w:rPr>
          <w:rtl/>
        </w:rPr>
        <w:t xml:space="preserve"> במספר הילדים </w:t>
      </w:r>
      <w:r w:rsidRPr="005326F8">
        <w:rPr>
          <w:rFonts w:hint="cs"/>
          <w:rtl/>
        </w:rPr>
        <w:t>שיש לעובד. לפיכך, נוצרת ה</w:t>
      </w:r>
      <w:r w:rsidRPr="005326F8">
        <w:rPr>
          <w:rtl/>
        </w:rPr>
        <w:t xml:space="preserve">פליה בין עובד </w:t>
      </w:r>
      <w:r>
        <w:rPr>
          <w:rFonts w:hint="cs"/>
          <w:rtl/>
        </w:rPr>
        <w:t>שיש לו</w:t>
      </w:r>
      <w:r w:rsidRPr="005326F8">
        <w:rPr>
          <w:rtl/>
        </w:rPr>
        <w:t xml:space="preserve"> ילד אחד לבין עובד ש</w:t>
      </w:r>
      <w:r>
        <w:rPr>
          <w:rFonts w:hint="cs"/>
          <w:rtl/>
        </w:rPr>
        <w:t xml:space="preserve">שיש לו </w:t>
      </w:r>
      <w:r w:rsidRPr="005326F8">
        <w:rPr>
          <w:rFonts w:hint="cs"/>
          <w:rtl/>
        </w:rPr>
        <w:t xml:space="preserve">יותר מילד אחד. </w:t>
      </w:r>
    </w:p>
    <w:p w14:paraId="564DF74A" w14:textId="77777777" w:rsidR="00AB581D" w:rsidRPr="005326F8" w:rsidRDefault="00AB581D" w:rsidP="002A3D64">
      <w:pPr>
        <w:pStyle w:val="Hesber"/>
        <w:spacing w:line="240" w:lineRule="auto"/>
        <w:rPr>
          <w:rtl/>
        </w:rPr>
      </w:pPr>
      <w:r w:rsidRPr="005326F8">
        <w:rPr>
          <w:rtl/>
        </w:rPr>
        <w:t xml:space="preserve">מוצע </w:t>
      </w:r>
      <w:r w:rsidRPr="005326F8">
        <w:rPr>
          <w:rFonts w:hint="cs"/>
          <w:rtl/>
        </w:rPr>
        <w:t xml:space="preserve">לקבוע כי עובד שיש לו יותר מילד אחד, יהיה זכאי לזקוף על חשבון ימי המחלה שלו, יומיים נוספים בשנה </w:t>
      </w:r>
      <w:r>
        <w:rPr>
          <w:rFonts w:hint="cs"/>
          <w:rtl/>
        </w:rPr>
        <w:t>בעד כל</w:t>
      </w:r>
      <w:r w:rsidRPr="005326F8">
        <w:rPr>
          <w:rFonts w:hint="cs"/>
          <w:rtl/>
        </w:rPr>
        <w:t xml:space="preserve"> ילד, ואם מדובר בהורה שהילד נמצא בהחזקתו הבלעדית או בהורה שהוא הורה עצמאי – עד 4 ימים נוספים בשנה בעד כל ילד. </w:t>
      </w:r>
    </w:p>
    <w:p w14:paraId="1996F234" w14:textId="7789A1E1" w:rsidR="00AB581D" w:rsidRDefault="00AB581D" w:rsidP="002A3D64">
      <w:pPr>
        <w:pStyle w:val="Hesber"/>
        <w:spacing w:line="240" w:lineRule="auto"/>
        <w:rPr>
          <w:rtl/>
        </w:rPr>
      </w:pPr>
      <w:r w:rsidRPr="005326F8">
        <w:rPr>
          <w:rFonts w:hint="cs"/>
          <w:rtl/>
        </w:rPr>
        <w:t>הצע</w:t>
      </w:r>
      <w:r w:rsidR="00455CF8">
        <w:rPr>
          <w:rFonts w:hint="cs"/>
          <w:rtl/>
        </w:rPr>
        <w:t>ו</w:t>
      </w:r>
      <w:r w:rsidRPr="005326F8">
        <w:rPr>
          <w:rFonts w:hint="cs"/>
          <w:rtl/>
        </w:rPr>
        <w:t>ת חוק זה</w:t>
      </w:r>
      <w:r w:rsidR="00455CF8">
        <w:rPr>
          <w:rFonts w:hint="cs"/>
          <w:rtl/>
        </w:rPr>
        <w:t>ות</w:t>
      </w:r>
      <w:r w:rsidRPr="005326F8">
        <w:rPr>
          <w:rFonts w:hint="cs"/>
          <w:rtl/>
        </w:rPr>
        <w:t xml:space="preserve"> הונח</w:t>
      </w:r>
      <w:r w:rsidR="00455CF8">
        <w:rPr>
          <w:rFonts w:hint="cs"/>
          <w:rtl/>
        </w:rPr>
        <w:t>ו</w:t>
      </w:r>
      <w:r w:rsidRPr="005326F8">
        <w:rPr>
          <w:rFonts w:hint="cs"/>
          <w:rtl/>
        </w:rPr>
        <w:t xml:space="preserve"> על שולחן הכנסת התשע-עשרה על ידי חבר הכנסת ישראל חסון וקבוצת חברי </w:t>
      </w:r>
      <w:r>
        <w:rPr>
          <w:rFonts w:hint="cs"/>
          <w:rtl/>
        </w:rPr>
        <w:t>ה</w:t>
      </w:r>
      <w:r w:rsidRPr="005326F8">
        <w:rPr>
          <w:rFonts w:hint="cs"/>
          <w:rtl/>
        </w:rPr>
        <w:t>כנסת (</w:t>
      </w:r>
      <w:r w:rsidRPr="005326F8">
        <w:rPr>
          <w:rtl/>
        </w:rPr>
        <w:t>פ/1557/19</w:t>
      </w:r>
      <w:r w:rsidRPr="005326F8">
        <w:rPr>
          <w:rFonts w:hint="cs"/>
          <w:rtl/>
        </w:rPr>
        <w:t>)</w:t>
      </w:r>
      <w:r w:rsidR="00455CF8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5326F8">
        <w:rPr>
          <w:rFonts w:hint="cs"/>
          <w:rtl/>
        </w:rPr>
        <w:t>על שולחן הכנסת ה</w:t>
      </w:r>
      <w:r>
        <w:rPr>
          <w:rFonts w:hint="cs"/>
          <w:rtl/>
        </w:rPr>
        <w:t>עשרים</w:t>
      </w:r>
      <w:r w:rsidRPr="005326F8">
        <w:rPr>
          <w:rFonts w:hint="cs"/>
          <w:rtl/>
        </w:rPr>
        <w:t xml:space="preserve"> </w:t>
      </w:r>
      <w:r>
        <w:rPr>
          <w:rFonts w:hint="cs"/>
          <w:rtl/>
        </w:rPr>
        <w:t xml:space="preserve">אורי </w:t>
      </w:r>
      <w:proofErr w:type="spellStart"/>
      <w:r>
        <w:rPr>
          <w:rFonts w:hint="cs"/>
          <w:rtl/>
        </w:rPr>
        <w:t>מקלב</w:t>
      </w:r>
      <w:proofErr w:type="spellEnd"/>
      <w:r>
        <w:rPr>
          <w:rFonts w:hint="cs"/>
          <w:rtl/>
        </w:rPr>
        <w:t xml:space="preserve"> </w:t>
      </w:r>
      <w:r w:rsidRPr="005326F8">
        <w:rPr>
          <w:rFonts w:hint="cs"/>
          <w:rtl/>
        </w:rPr>
        <w:t xml:space="preserve">וקבוצת חברי </w:t>
      </w:r>
      <w:r>
        <w:rPr>
          <w:rFonts w:hint="cs"/>
          <w:rtl/>
        </w:rPr>
        <w:t>ה</w:t>
      </w:r>
      <w:r w:rsidRPr="005326F8">
        <w:rPr>
          <w:rFonts w:hint="cs"/>
          <w:rtl/>
        </w:rPr>
        <w:t>כנסת (</w:t>
      </w:r>
      <w:r w:rsidRPr="005326F8">
        <w:rPr>
          <w:rtl/>
        </w:rPr>
        <w:t>פ/</w:t>
      </w:r>
      <w:r>
        <w:rPr>
          <w:rFonts w:hint="cs"/>
          <w:rtl/>
        </w:rPr>
        <w:t>720</w:t>
      </w:r>
      <w:r w:rsidRPr="005326F8">
        <w:rPr>
          <w:rtl/>
        </w:rPr>
        <w:t>/</w:t>
      </w:r>
      <w:r>
        <w:rPr>
          <w:rFonts w:hint="cs"/>
          <w:rtl/>
        </w:rPr>
        <w:t>20</w:t>
      </w:r>
      <w:r w:rsidRPr="005326F8">
        <w:rPr>
          <w:rFonts w:hint="cs"/>
          <w:rtl/>
        </w:rPr>
        <w:t>)</w:t>
      </w:r>
      <w:r w:rsidR="00455CF8">
        <w:rPr>
          <w:rFonts w:hint="cs"/>
          <w:rtl/>
        </w:rPr>
        <w:t xml:space="preserve"> ועל שולחן הכנסת העשרים ושלוש והעשרים וארבע על ידי חברת הכנסת מרב מיכאלי (</w:t>
      </w:r>
      <w:r w:rsidR="00455CF8" w:rsidRPr="00455CF8">
        <w:rPr>
          <w:rtl/>
        </w:rPr>
        <w:t>פ/1500/23</w:t>
      </w:r>
      <w:r w:rsidR="00455CF8">
        <w:rPr>
          <w:rFonts w:hint="cs"/>
          <w:rtl/>
        </w:rPr>
        <w:t xml:space="preserve">; </w:t>
      </w:r>
      <w:r w:rsidR="00455CF8" w:rsidRPr="00455CF8">
        <w:rPr>
          <w:rtl/>
        </w:rPr>
        <w:t xml:space="preserve"> פ/630/24</w:t>
      </w:r>
      <w:r w:rsidR="00455CF8">
        <w:rPr>
          <w:rFonts w:hint="cs"/>
          <w:rtl/>
        </w:rPr>
        <w:t>)</w:t>
      </w:r>
      <w:r w:rsidRPr="005326F8">
        <w:rPr>
          <w:rFonts w:hint="cs"/>
          <w:rtl/>
        </w:rPr>
        <w:t>.</w:t>
      </w:r>
    </w:p>
    <w:p w14:paraId="32AF5617" w14:textId="30AF0AD0" w:rsidR="00455CF8" w:rsidRPr="005326F8" w:rsidRDefault="00455CF8" w:rsidP="002A3D64">
      <w:pPr>
        <w:pStyle w:val="Hesber"/>
        <w:spacing w:line="240" w:lineRule="auto"/>
        <w:rPr>
          <w:rtl/>
        </w:rPr>
      </w:pPr>
      <w:r>
        <w:rPr>
          <w:rFonts w:hint="cs"/>
          <w:rtl/>
        </w:rPr>
        <w:t xml:space="preserve">הצעת החוק זהה </w:t>
      </w:r>
      <w:proofErr w:type="spellStart"/>
      <w:r>
        <w:rPr>
          <w:rFonts w:hint="cs"/>
          <w:rtl/>
        </w:rPr>
        <w:t>לפ</w:t>
      </w:r>
      <w:proofErr w:type="spellEnd"/>
      <w:r>
        <w:rPr>
          <w:rFonts w:hint="cs"/>
          <w:rtl/>
        </w:rPr>
        <w:t>/1500/23 ולפיכך לא נבדקה מחדש על ידי הלשכה המשפטית של הכנסת.</w:t>
      </w:r>
    </w:p>
    <w:p w14:paraId="3D8DC87A" w14:textId="77777777" w:rsidR="00F158A1" w:rsidRDefault="002A3D64" w:rsidP="002A3D64">
      <w:pPr>
        <w:spacing w:line="240" w:lineRule="auto"/>
        <w:jc w:val="left"/>
      </w:pPr>
      <w:bookmarkStart w:id="8" w:name="selectedDocDateB"/>
      <w:bookmarkEnd w:id="8"/>
      <w:r>
        <w:rPr>
          <w:rFonts w:eastAsia="David" w:hint="cs"/>
          <w:sz w:val="26"/>
          <w:szCs w:val="26"/>
          <w:rtl/>
        </w:rPr>
        <w:t>--------------------------------</w:t>
      </w:r>
    </w:p>
    <w:p w14:paraId="0350D4CE" w14:textId="77777777" w:rsidR="00F158A1" w:rsidRDefault="002A3D64" w:rsidP="002A3D64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4F008634" w14:textId="77777777" w:rsidR="00F158A1" w:rsidRDefault="002A3D64" w:rsidP="002A3D64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63C9534E" w14:textId="6BD24CC5" w:rsidR="00F158A1" w:rsidRDefault="002A3D64" w:rsidP="002A3D64">
      <w:pPr>
        <w:spacing w:line="240" w:lineRule="auto"/>
        <w:jc w:val="left"/>
      </w:pPr>
      <w:r>
        <w:rPr>
          <w:rFonts w:eastAsia="David" w:hint="cs"/>
          <w:sz w:val="26"/>
          <w:szCs w:val="26"/>
          <w:rtl/>
        </w:rPr>
        <w:t xml:space="preserve">ד' באדר ב' </w:t>
      </w:r>
      <w:proofErr w:type="spellStart"/>
      <w:r>
        <w:rPr>
          <w:rFonts w:eastAsia="David" w:hint="cs"/>
          <w:sz w:val="26"/>
          <w:szCs w:val="26"/>
          <w:rtl/>
        </w:rPr>
        <w:t>התשפ"ב</w:t>
      </w:r>
      <w:proofErr w:type="spellEnd"/>
      <w:r>
        <w:rPr>
          <w:rFonts w:eastAsia="David" w:hint="cs"/>
          <w:sz w:val="26"/>
          <w:szCs w:val="26"/>
          <w:rtl/>
        </w:rPr>
        <w:t xml:space="preserve"> (07.03.2022) </w:t>
      </w:r>
      <w:bookmarkStart w:id="9" w:name="_GoBack"/>
      <w:bookmarkEnd w:id="9"/>
    </w:p>
    <w:sectPr w:rsidR="00F158A1" w:rsidSect="002A3D64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A3D64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2A3D64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1B09F585" w14:textId="77777777" w:rsidR="00AB581D" w:rsidRDefault="00AB581D" w:rsidP="00AB581D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ס"ח </w:t>
      </w:r>
      <w:proofErr w:type="spellStart"/>
      <w:r>
        <w:rPr>
          <w:rFonts w:hint="cs"/>
          <w:rtl/>
        </w:rPr>
        <w:t>התשנ"ג</w:t>
      </w:r>
      <w:proofErr w:type="spellEnd"/>
      <w:r>
        <w:rPr>
          <w:rFonts w:hint="cs"/>
          <w:rtl/>
        </w:rPr>
        <w:t>, עמ' 134.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3D64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55CF8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B581D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55FFE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158A1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3018DEB7-1B25-4F49-913E-E13636BE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64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3D64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2A3D64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2A3D64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2A3D64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A3D64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  <w:rsid w:val="002A3D6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2A3D64"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2A3D64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2A3D64"/>
    <w:rPr>
      <w:sz w:val="36"/>
      <w:szCs w:val="52"/>
    </w:rPr>
  </w:style>
  <w:style w:type="paragraph" w:customStyle="1" w:styleId="Cover3-Haknesset">
    <w:name w:val="Cover 3-Haknesset"/>
    <w:basedOn w:val="Cover1-Reshumot"/>
    <w:rsid w:val="002A3D64"/>
    <w:rPr>
      <w:b/>
      <w:bCs/>
      <w:spacing w:val="60"/>
    </w:rPr>
  </w:style>
  <w:style w:type="paragraph" w:customStyle="1" w:styleId="Cover4-Date">
    <w:name w:val="Cover 4-Date"/>
    <w:basedOn w:val="a"/>
    <w:rsid w:val="002A3D64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2A3D64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2A3D64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2A3D64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2A3D64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2A3D64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2A3D64"/>
    <w:pPr>
      <w:outlineLvl w:val="2"/>
    </w:pPr>
  </w:style>
  <w:style w:type="paragraph" w:customStyle="1" w:styleId="TableBlock">
    <w:name w:val="Table Block"/>
    <w:basedOn w:val="TableText"/>
    <w:rsid w:val="002A3D64"/>
    <w:pPr>
      <w:jc w:val="both"/>
    </w:pPr>
  </w:style>
  <w:style w:type="paragraph" w:customStyle="1" w:styleId="TableHead">
    <w:name w:val="Table Head"/>
    <w:basedOn w:val="TableText"/>
    <w:rsid w:val="002A3D64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2A3D64"/>
    <w:pPr>
      <w:outlineLvl w:val="9"/>
    </w:pPr>
  </w:style>
  <w:style w:type="paragraph" w:customStyle="1" w:styleId="Hesber">
    <w:name w:val="Hesber"/>
    <w:basedOn w:val="a"/>
    <w:rsid w:val="002A3D64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autoRedefine/>
    <w:semiHidden/>
    <w:rsid w:val="002A3D64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2A3D64"/>
    <w:rPr>
      <w:vertAlign w:val="superscript"/>
    </w:rPr>
  </w:style>
  <w:style w:type="paragraph" w:customStyle="1" w:styleId="HesberHeading">
    <w:name w:val="Hesber Heading"/>
    <w:basedOn w:val="Hesber"/>
    <w:rsid w:val="002A3D64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2A3D64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2A3D64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2A3D64"/>
    <w:rPr>
      <w:vertAlign w:val="superscript"/>
    </w:rPr>
  </w:style>
  <w:style w:type="paragraph" w:customStyle="1" w:styleId="TableBlockOutdent">
    <w:name w:val="Table BlockOutdent"/>
    <w:basedOn w:val="TableBlock"/>
    <w:rsid w:val="002A3D64"/>
    <w:pPr>
      <w:ind w:left="624" w:hanging="624"/>
    </w:pPr>
  </w:style>
  <w:style w:type="paragraph" w:styleId="a7">
    <w:name w:val="header"/>
    <w:basedOn w:val="a"/>
    <w:rsid w:val="002A3D64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2A3D64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2A3D64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2A3D64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a">
    <w:name w:val="page number"/>
    <w:basedOn w:val="a0"/>
    <w:rsid w:val="002A3D64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10">
    <w:name w:val="כותרת 1 תו"/>
    <w:basedOn w:val="a0"/>
    <w:link w:val="1"/>
    <w:uiPriority w:val="9"/>
    <w:rsid w:val="002A3D64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2A3D64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2A3D64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2A3D64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2A3D64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2A3D64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2A3D64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2A3D64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2A3D64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2A3D64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2A3D64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2A3D64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2A3D64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2A3D64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2A3D64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2A3D64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2A3D64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2A3D64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2A3D64"/>
    <w:rPr>
      <w:rFonts w:eastAsia="Times New Roman"/>
    </w:rPr>
  </w:style>
  <w:style w:type="paragraph" w:styleId="ae">
    <w:name w:val="List Paragraph"/>
    <w:basedOn w:val="a"/>
    <w:uiPriority w:val="34"/>
    <w:qFormat/>
    <w:rsid w:val="002A3D64"/>
    <w:pPr>
      <w:widowControl/>
      <w:spacing w:line="259" w:lineRule="auto"/>
    </w:pPr>
    <w:rPr>
      <w:rFonts w:asciiTheme="minorHAnsi" w:hAnsiTheme="minorHAnsi"/>
      <w:sz w:val="22"/>
    </w:rPr>
  </w:style>
  <w:style w:type="table" w:styleId="af">
    <w:name w:val="Table Grid"/>
    <w:basedOn w:val="a1"/>
    <w:rsid w:val="002A3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2A3D6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2A3D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0">
    <w:name w:val="טבלת חקיקה"/>
    <w:basedOn w:val="a1"/>
    <w:uiPriority w:val="99"/>
    <w:rsid w:val="002A3D64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2A3D64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24CE68-7CE0-4E61-A6FE-53F859D61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A99DFA-F17F-4F10-A08C-9B39AAB4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7</cp:revision>
  <cp:lastPrinted>2022-03-02T07:49:00Z</cp:lastPrinted>
  <dcterms:created xsi:type="dcterms:W3CDTF">2015-04-20T09:58:00Z</dcterms:created>
  <dcterms:modified xsi:type="dcterms:W3CDTF">2022-03-02T07:49:00Z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2190338</vt:r8>
  </property>
</Properties>
</file>